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FB9" w:rsidRDefault="006A3EE2">
      <w:pPr>
        <w:pStyle w:val="Titre"/>
      </w:pPr>
      <w:r>
        <w:t>CE1D sciences 2021</w:t>
      </w:r>
      <w:r>
        <w:br/>
        <w:t>Fiche d’information pour l’enseignant</w:t>
      </w:r>
    </w:p>
    <w:p w:rsidR="00A47FB9" w:rsidRDefault="006A3EE2">
      <w:pPr>
        <w:pStyle w:val="Titre1"/>
        <w:rPr>
          <w:lang w:val="fr-BE"/>
        </w:rPr>
      </w:pPr>
      <w:r>
        <w:rPr>
          <w:lang w:val="fr-BE"/>
        </w:rPr>
        <w:t>Dispositions spécifiques liées à la crise sanitaire</w:t>
      </w:r>
    </w:p>
    <w:p w:rsidR="00A47FB9" w:rsidRDefault="006A3EE2">
      <w:pPr>
        <w:rPr>
          <w:b/>
          <w:lang w:val="fr-BE"/>
        </w:rPr>
      </w:pPr>
      <w:r>
        <w:rPr>
          <w:lang w:val="fr-BE"/>
        </w:rPr>
        <w:t xml:space="preserve">Plusieurs actions visant à éviter que la situation découlant de la crise </w:t>
      </w:r>
      <w:r>
        <w:rPr>
          <w:lang w:val="fr-BE"/>
        </w:rPr>
        <w:t>sanitaire ne pénalise davantage les élèves ont été menées :</w:t>
      </w:r>
    </w:p>
    <w:p w:rsidR="00A47FB9" w:rsidRDefault="006A3EE2">
      <w:pPr>
        <w:pStyle w:val="Paragraphedeliste"/>
        <w:numPr>
          <w:ilvl w:val="0"/>
          <w:numId w:val="21"/>
        </w:numPr>
        <w:rPr>
          <w:lang w:val="fr-BE" w:eastAsia="fr-BE"/>
        </w:rPr>
      </w:pPr>
      <w:r>
        <w:rPr>
          <w:lang w:val="fr-BE"/>
        </w:rPr>
        <w:t>Premièrement, l</w:t>
      </w:r>
      <w:r>
        <w:rPr>
          <w:lang w:val="fr-BE" w:eastAsia="fr-BE"/>
        </w:rPr>
        <w:t>e Service général de l’Inspection a travaillé, en collaboration avec la Direction des Standards éducatifs et des Évaluations, à identifier les essentiels parmi les savoirs, savoir-f</w:t>
      </w:r>
      <w:r>
        <w:rPr>
          <w:lang w:val="fr-BE" w:eastAsia="fr-BE"/>
        </w:rPr>
        <w:t xml:space="preserve">aire et compétences définis dans les référentiels actuellement en vigueur. Ce travail a été effectué en veillant à la cohérence des essentiels sélectionnés avec les épreuves externes certificatives. Ce document a été communiqué aux écoles en début d’année </w:t>
      </w:r>
      <w:r>
        <w:rPr>
          <w:lang w:val="fr-BE" w:eastAsia="fr-BE"/>
        </w:rPr>
        <w:t xml:space="preserve">scolaire. Une version de ce document remis à jour au niveau de la forme est disponible sur enseignement.be : </w:t>
      </w:r>
      <w:hyperlink r:id="rId8" w:history="1">
        <w:r>
          <w:rPr>
            <w:rStyle w:val="Lienhypertexte"/>
            <w:lang w:val="fr-BE"/>
          </w:rPr>
          <w:t>http://enseignement.be/download.php?do_id=15922</w:t>
        </w:r>
      </w:hyperlink>
      <w:r>
        <w:rPr>
          <w:lang w:val="fr-BE" w:eastAsia="fr-BE"/>
        </w:rPr>
        <w:t>.</w:t>
      </w:r>
    </w:p>
    <w:p w:rsidR="00A47FB9" w:rsidRDefault="006A3EE2">
      <w:pPr>
        <w:pStyle w:val="Paragraphedeliste"/>
        <w:numPr>
          <w:ilvl w:val="0"/>
          <w:numId w:val="21"/>
        </w:numPr>
        <w:rPr>
          <w:lang w:val="fr-BE" w:eastAsia="fr-BE"/>
        </w:rPr>
      </w:pPr>
      <w:r>
        <w:rPr>
          <w:lang w:val="fr-BE" w:eastAsia="fr-BE"/>
        </w:rPr>
        <w:t xml:space="preserve">Deuxièmement, des informations au </w:t>
      </w:r>
      <w:r>
        <w:rPr>
          <w:lang w:val="fr-BE" w:eastAsia="fr-BE"/>
        </w:rPr>
        <w:t>sujet des épreuves 2021 sont communiquées dans la présente fiche afin de vous permettre de préparer les élèves au mieux.</w:t>
      </w:r>
    </w:p>
    <w:p w:rsidR="00A47FB9" w:rsidRDefault="006A3EE2">
      <w:pPr>
        <w:pStyle w:val="Paragraphedeliste"/>
        <w:numPr>
          <w:ilvl w:val="0"/>
          <w:numId w:val="21"/>
        </w:numPr>
        <w:rPr>
          <w:lang w:val="fr-BE" w:eastAsia="fr-BE"/>
        </w:rPr>
      </w:pPr>
      <w:r>
        <w:rPr>
          <w:lang w:val="fr-BE" w:eastAsia="fr-BE"/>
        </w:rPr>
        <w:t>Enfin, dans le cas où, en raison de la situation sanitaire, tous les essentiels n’auraient pas pu être enseignés, une procédure est mis</w:t>
      </w:r>
      <w:r>
        <w:rPr>
          <w:lang w:val="fr-BE" w:eastAsia="fr-BE"/>
        </w:rPr>
        <w:t>e en place cette année pour aider le conseil de classe à prendre sa décision (cf. circulaire point B.5. pour le CE1D).</w:t>
      </w:r>
    </w:p>
    <w:p w:rsidR="00A47FB9" w:rsidRDefault="006A3EE2">
      <w:pPr>
        <w:rPr>
          <w:highlight w:val="yellow"/>
          <w:lang w:val="fr-BE"/>
        </w:rPr>
      </w:pPr>
      <w:r>
        <w:rPr>
          <w:lang w:val="fr-BE"/>
        </w:rPr>
        <w:t>Par ailleurs, l’annulation des épreuves de juin 2020 ayant été actée après l’impression de l’ensemble des documents à destination des élè</w:t>
      </w:r>
      <w:r>
        <w:rPr>
          <w:lang w:val="fr-BE"/>
        </w:rPr>
        <w:t>ves</w:t>
      </w:r>
      <w:r>
        <w:t>, la possibilité d'utiliser l'épreuve de juin 2020 en 2021 a été étudiée. Après vérification par les concepteurs de l'épreuve de sa conformité avec les essentiels, il a été décidé, par souci écologique et économique, de conserver l’ensemble de ces docum</w:t>
      </w:r>
      <w:r>
        <w:t>ents en vue d’une utilisation en juin 2021.</w:t>
      </w:r>
      <w:r>
        <w:rPr>
          <w:lang w:val="fr-BE"/>
        </w:rPr>
        <w:t xml:space="preserve"> En conséquence directe de cette décision, les livrets, portefeuilles de documents et CD des épreuves de juin 2021 seront estampillés « CE1D 2020 ». Ceci n’est pas une erreur. Nous vous invitons à rassurer les élè</w:t>
      </w:r>
      <w:r>
        <w:rPr>
          <w:lang w:val="fr-BE"/>
        </w:rPr>
        <w:t>ves à ce propos.</w:t>
      </w:r>
    </w:p>
    <w:p w:rsidR="00A47FB9" w:rsidRDefault="006A3EE2">
      <w:pPr>
        <w:rPr>
          <w:b/>
          <w:highlight w:val="yellow"/>
          <w:lang w:val="fr-BE"/>
        </w:rPr>
      </w:pPr>
      <w:r>
        <w:rPr>
          <w:lang w:val="fr-BE"/>
        </w:rPr>
        <w:t>Nul ne peut, à ce stade, prédire avec certitude l’évolution de la situation sanitaire et les éventuelles nouvelles incidences de celle-ci sur l’organisation des épreuves externes communes certificatives de juin 2021. Les modifications sens</w:t>
      </w:r>
      <w:r>
        <w:rPr>
          <w:lang w:val="fr-BE"/>
        </w:rPr>
        <w:t>ibles liées à cette organisation, s’il doit y en avoir au cours des prochains mois, feront l’objet de nouvelles circulaires.</w:t>
      </w:r>
    </w:p>
    <w:p w:rsidR="006A3EE2" w:rsidRDefault="006A3EE2" w:rsidP="006A3EE2">
      <w:pPr>
        <w:jc w:val="left"/>
      </w:pPr>
      <w:r>
        <w:t>Une FAQ par épreuve est disponible afin de répondre aux questions les plus fréquemment posées par les parents et les élèves. Elle est consultable sur enseignement.be à l’adresse suivante :</w:t>
      </w:r>
    </w:p>
    <w:p w:rsidR="00A47FB9" w:rsidRDefault="006A3EE2" w:rsidP="006A3EE2">
      <w:pPr>
        <w:rPr>
          <w:b/>
          <w:highlight w:val="yellow"/>
          <w:lang w:val="fr-BE"/>
        </w:rPr>
      </w:pPr>
      <w:hyperlink r:id="rId9" w:history="1">
        <w:r>
          <w:rPr>
            <w:rStyle w:val="Lienhypertexte"/>
          </w:rPr>
          <w:t>http://enseignement.be/index.php?page=28025&amp;navi=4500</w:t>
        </w:r>
      </w:hyperlink>
      <w:bookmarkStart w:id="0" w:name="_GoBack"/>
      <w:bookmarkEnd w:id="0"/>
    </w:p>
    <w:p w:rsidR="00A47FB9" w:rsidRDefault="00A47FB9">
      <w:pPr>
        <w:rPr>
          <w:lang w:val="fr-BE"/>
        </w:rPr>
      </w:pPr>
    </w:p>
    <w:p w:rsidR="00A47FB9" w:rsidRDefault="006A3EE2">
      <w:pPr>
        <w:rPr>
          <w:lang w:val="fr-BE"/>
        </w:rPr>
      </w:pPr>
      <w:r>
        <w:rPr>
          <w:lang w:val="fr-BE"/>
        </w:rPr>
        <w:br w:type="page"/>
      </w:r>
    </w:p>
    <w:p w:rsidR="00A47FB9" w:rsidRDefault="00A47FB9">
      <w:pPr>
        <w:rPr>
          <w:lang w:val="fr-BE"/>
        </w:rPr>
      </w:pPr>
    </w:p>
    <w:p w:rsidR="00A47FB9" w:rsidRDefault="006A3EE2">
      <w:pPr>
        <w:pStyle w:val="Titre1"/>
        <w:rPr>
          <w:lang w:val="fr-BE"/>
        </w:rPr>
      </w:pPr>
      <w:r>
        <w:rPr>
          <w:lang w:val="fr-BE"/>
        </w:rPr>
        <w:t>Organisation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64"/>
        <w:gridCol w:w="1800"/>
        <w:gridCol w:w="1639"/>
        <w:gridCol w:w="1981"/>
        <w:gridCol w:w="1654"/>
      </w:tblGrid>
      <w:tr w:rsidR="00A47FB9">
        <w:trPr>
          <w:trHeight w:val="454"/>
          <w:jc w:val="center"/>
        </w:trPr>
        <w:tc>
          <w:tcPr>
            <w:tcW w:w="1951" w:type="dxa"/>
            <w:gridSpan w:val="2"/>
            <w:tcBorders>
              <w:top w:val="nil"/>
              <w:left w:val="nil"/>
              <w:bottom w:val="single" w:sz="8" w:space="0" w:color="auto"/>
              <w:right w:val="single" w:sz="12" w:space="0" w:color="auto"/>
            </w:tcBorders>
            <w:shd w:val="clear" w:color="auto" w:fill="auto"/>
          </w:tcPr>
          <w:p w:rsidR="00A47FB9" w:rsidRDefault="00A47FB9">
            <w:pPr>
              <w:jc w:val="center"/>
              <w:rPr>
                <w:rFonts w:eastAsia="Calibri" w:cs="Calibri"/>
                <w:b/>
                <w:szCs w:val="22"/>
                <w:highlight w:val="yellow"/>
                <w:lang w:val="fr-BE" w:eastAsia="en-US"/>
              </w:rPr>
            </w:pPr>
          </w:p>
        </w:tc>
        <w:tc>
          <w:tcPr>
            <w:tcW w:w="1800" w:type="dxa"/>
            <w:tcBorders>
              <w:top w:val="single" w:sz="8" w:space="0" w:color="auto"/>
              <w:left w:val="single" w:sz="12" w:space="0" w:color="auto"/>
              <w:bottom w:val="single" w:sz="8" w:space="0" w:color="auto"/>
              <w:right w:val="single" w:sz="8" w:space="0" w:color="auto"/>
            </w:tcBorders>
            <w:shd w:val="clear" w:color="auto" w:fill="808080"/>
            <w:vAlign w:val="center"/>
          </w:tcPr>
          <w:p w:rsidR="00A47FB9" w:rsidRDefault="006A3EE2">
            <w:pPr>
              <w:jc w:val="center"/>
              <w:rPr>
                <w:rFonts w:eastAsia="Calibri" w:cs="Calibri"/>
                <w:b/>
                <w:color w:val="FFFFFF"/>
                <w:szCs w:val="22"/>
                <w:lang w:val="fr-BE" w:eastAsia="en-US"/>
              </w:rPr>
            </w:pPr>
            <w:r>
              <w:rPr>
                <w:rFonts w:eastAsia="Calibri" w:cs="Calibri"/>
                <w:b/>
                <w:color w:val="FFFFFF"/>
                <w:szCs w:val="22"/>
                <w:lang w:val="fr-BE" w:eastAsia="en-US"/>
              </w:rPr>
              <w:t>Mercredi 16/6</w:t>
            </w:r>
          </w:p>
        </w:tc>
        <w:tc>
          <w:tcPr>
            <w:tcW w:w="1639" w:type="dxa"/>
            <w:tcBorders>
              <w:top w:val="single" w:sz="8" w:space="0" w:color="auto"/>
              <w:left w:val="single" w:sz="8" w:space="0" w:color="auto"/>
              <w:bottom w:val="single" w:sz="8" w:space="0" w:color="auto"/>
              <w:right w:val="single" w:sz="8" w:space="0" w:color="auto"/>
            </w:tcBorders>
            <w:shd w:val="clear" w:color="auto" w:fill="808080"/>
            <w:vAlign w:val="center"/>
          </w:tcPr>
          <w:p w:rsidR="00A47FB9" w:rsidRDefault="006A3EE2">
            <w:pPr>
              <w:jc w:val="center"/>
              <w:rPr>
                <w:rFonts w:eastAsia="Calibri" w:cs="Calibri"/>
                <w:b/>
                <w:color w:val="FFFFFF"/>
                <w:szCs w:val="22"/>
                <w:lang w:val="fr-BE" w:eastAsia="en-US"/>
              </w:rPr>
            </w:pPr>
            <w:r>
              <w:rPr>
                <w:rFonts w:eastAsia="Calibri" w:cs="Calibri"/>
                <w:b/>
                <w:color w:val="FFFFFF"/>
                <w:szCs w:val="22"/>
                <w:lang w:val="fr-BE" w:eastAsia="en-US"/>
              </w:rPr>
              <w:t>Jeudi 17/6</w:t>
            </w:r>
          </w:p>
        </w:tc>
        <w:tc>
          <w:tcPr>
            <w:tcW w:w="1981" w:type="dxa"/>
            <w:tcBorders>
              <w:top w:val="single" w:sz="8" w:space="0" w:color="auto"/>
              <w:left w:val="single" w:sz="8" w:space="0" w:color="auto"/>
              <w:bottom w:val="single" w:sz="8" w:space="0" w:color="auto"/>
              <w:right w:val="single" w:sz="8" w:space="0" w:color="auto"/>
            </w:tcBorders>
            <w:shd w:val="clear" w:color="auto" w:fill="808080"/>
            <w:vAlign w:val="center"/>
          </w:tcPr>
          <w:p w:rsidR="00A47FB9" w:rsidRDefault="006A3EE2">
            <w:pPr>
              <w:jc w:val="center"/>
              <w:rPr>
                <w:rFonts w:eastAsia="Calibri" w:cs="Calibri"/>
                <w:b/>
                <w:color w:val="FFFFFF"/>
                <w:szCs w:val="22"/>
                <w:lang w:val="fr-BE" w:eastAsia="en-US"/>
              </w:rPr>
            </w:pPr>
            <w:r>
              <w:rPr>
                <w:rFonts w:eastAsia="Calibri" w:cs="Calibri"/>
                <w:b/>
                <w:color w:val="FFFFFF"/>
                <w:szCs w:val="22"/>
                <w:lang w:val="fr-BE" w:eastAsia="en-US"/>
              </w:rPr>
              <w:t>Vendredi 18/6</w:t>
            </w:r>
          </w:p>
        </w:tc>
        <w:tc>
          <w:tcPr>
            <w:tcW w:w="1654" w:type="dxa"/>
            <w:tcBorders>
              <w:top w:val="single" w:sz="8" w:space="0" w:color="auto"/>
              <w:left w:val="single" w:sz="8" w:space="0" w:color="auto"/>
              <w:bottom w:val="single" w:sz="8" w:space="0" w:color="auto"/>
            </w:tcBorders>
            <w:shd w:val="clear" w:color="auto" w:fill="808080"/>
            <w:vAlign w:val="center"/>
          </w:tcPr>
          <w:p w:rsidR="00A47FB9" w:rsidRDefault="006A3EE2">
            <w:pPr>
              <w:jc w:val="center"/>
              <w:rPr>
                <w:rFonts w:eastAsia="Calibri" w:cs="Calibri"/>
                <w:b/>
                <w:color w:val="FFFFFF"/>
                <w:szCs w:val="22"/>
                <w:lang w:val="fr-BE" w:eastAsia="en-US"/>
              </w:rPr>
            </w:pPr>
            <w:r>
              <w:rPr>
                <w:rFonts w:eastAsia="Calibri" w:cs="Calibri"/>
                <w:b/>
                <w:color w:val="FFFFFF"/>
                <w:szCs w:val="22"/>
                <w:lang w:val="fr-BE" w:eastAsia="en-US"/>
              </w:rPr>
              <w:t>Lundi 21/6</w:t>
            </w:r>
          </w:p>
        </w:tc>
      </w:tr>
      <w:tr w:rsidR="00A47FB9">
        <w:trPr>
          <w:trHeight w:val="454"/>
          <w:jc w:val="center"/>
        </w:trPr>
        <w:tc>
          <w:tcPr>
            <w:tcW w:w="987" w:type="dxa"/>
            <w:vMerge w:val="restart"/>
            <w:tcBorders>
              <w:top w:val="single" w:sz="8" w:space="0" w:color="auto"/>
              <w:left w:val="single" w:sz="8" w:space="0" w:color="auto"/>
              <w:bottom w:val="single" w:sz="12" w:space="0" w:color="auto"/>
              <w:right w:val="single" w:sz="8" w:space="0" w:color="auto"/>
            </w:tcBorders>
            <w:shd w:val="clear" w:color="auto" w:fill="auto"/>
            <w:vAlign w:val="center"/>
          </w:tcPr>
          <w:p w:rsidR="00A47FB9" w:rsidRDefault="006A3EE2">
            <w:pPr>
              <w:jc w:val="center"/>
              <w:rPr>
                <w:rFonts w:eastAsia="Calibri" w:cs="Calibri"/>
                <w:b/>
                <w:szCs w:val="22"/>
                <w:lang w:val="fr-BE" w:eastAsia="en-US"/>
              </w:rPr>
            </w:pPr>
            <w:r>
              <w:rPr>
                <w:rFonts w:eastAsia="Calibri" w:cs="Calibri"/>
                <w:b/>
                <w:szCs w:val="22"/>
                <w:lang w:val="fr-BE" w:eastAsia="en-US"/>
              </w:rPr>
              <w:t>Matinée</w:t>
            </w:r>
          </w:p>
        </w:tc>
        <w:tc>
          <w:tcPr>
            <w:tcW w:w="964" w:type="dxa"/>
            <w:tcBorders>
              <w:top w:val="single" w:sz="8" w:space="0" w:color="auto"/>
              <w:left w:val="single" w:sz="8" w:space="0" w:color="auto"/>
              <w:bottom w:val="single" w:sz="8" w:space="0" w:color="auto"/>
              <w:right w:val="single" w:sz="8" w:space="0" w:color="auto"/>
            </w:tcBorders>
            <w:shd w:val="clear" w:color="auto" w:fill="auto"/>
            <w:vAlign w:val="center"/>
          </w:tcPr>
          <w:p w:rsidR="00A47FB9" w:rsidRDefault="006A3EE2">
            <w:pPr>
              <w:jc w:val="center"/>
              <w:rPr>
                <w:rFonts w:eastAsia="Calibri" w:cs="Calibri"/>
                <w:b/>
                <w:szCs w:val="22"/>
                <w:lang w:val="fr-BE" w:eastAsia="en-US"/>
              </w:rPr>
            </w:pPr>
            <w:r>
              <w:rPr>
                <w:rFonts w:eastAsia="Calibri" w:cs="Calibri"/>
                <w:b/>
                <w:szCs w:val="22"/>
                <w:lang w:val="fr-BE" w:eastAsia="en-US"/>
              </w:rPr>
              <w:t>50 min</w:t>
            </w:r>
          </w:p>
        </w:tc>
        <w:tc>
          <w:tcPr>
            <w:tcW w:w="1800" w:type="dxa"/>
            <w:vMerge w:val="restart"/>
            <w:tcBorders>
              <w:top w:val="single" w:sz="8" w:space="0" w:color="auto"/>
              <w:left w:val="single" w:sz="8" w:space="0" w:color="auto"/>
              <w:right w:val="single" w:sz="8" w:space="0" w:color="auto"/>
            </w:tcBorders>
            <w:shd w:val="clear" w:color="auto" w:fill="auto"/>
            <w:vAlign w:val="center"/>
          </w:tcPr>
          <w:p w:rsidR="00A47FB9" w:rsidRDefault="006A3EE2">
            <w:pPr>
              <w:jc w:val="center"/>
              <w:rPr>
                <w:rFonts w:eastAsia="Calibri" w:cs="Calibri"/>
                <w:color w:val="BFBFBF" w:themeColor="background1" w:themeShade="BF"/>
                <w:szCs w:val="22"/>
                <w:lang w:val="fr-BE" w:eastAsia="en-US"/>
              </w:rPr>
            </w:pPr>
            <w:r>
              <w:rPr>
                <w:rFonts w:eastAsia="Calibri" w:cs="Calibri"/>
                <w:color w:val="BFBFBF" w:themeColor="background1" w:themeShade="BF"/>
                <w:szCs w:val="22"/>
                <w:lang w:val="fr-BE" w:eastAsia="en-US"/>
              </w:rPr>
              <w:t xml:space="preserve">Français </w:t>
            </w:r>
          </w:p>
        </w:tc>
        <w:tc>
          <w:tcPr>
            <w:tcW w:w="1639" w:type="dxa"/>
            <w:vMerge w:val="restart"/>
            <w:tcBorders>
              <w:top w:val="single" w:sz="8" w:space="0" w:color="auto"/>
              <w:left w:val="single" w:sz="8" w:space="0" w:color="auto"/>
              <w:right w:val="single" w:sz="8" w:space="0" w:color="auto"/>
            </w:tcBorders>
            <w:shd w:val="clear" w:color="auto" w:fill="auto"/>
            <w:vAlign w:val="center"/>
          </w:tcPr>
          <w:p w:rsidR="00A47FB9" w:rsidRDefault="006A3EE2">
            <w:pPr>
              <w:jc w:val="center"/>
              <w:rPr>
                <w:rFonts w:eastAsia="Calibri" w:cs="Calibri"/>
                <w:szCs w:val="22"/>
                <w:lang w:val="fr-BE" w:eastAsia="en-US"/>
              </w:rPr>
            </w:pPr>
            <w:r>
              <w:rPr>
                <w:rFonts w:eastAsia="Calibri" w:cs="Calibri"/>
                <w:szCs w:val="22"/>
                <w:lang w:val="fr-BE" w:eastAsia="en-US"/>
              </w:rPr>
              <w:t>Sciences</w:t>
            </w:r>
          </w:p>
        </w:tc>
        <w:tc>
          <w:tcPr>
            <w:tcW w:w="1981" w:type="dxa"/>
            <w:vMerge w:val="restart"/>
            <w:tcBorders>
              <w:top w:val="single" w:sz="8" w:space="0" w:color="auto"/>
              <w:left w:val="single" w:sz="8" w:space="0" w:color="auto"/>
              <w:right w:val="single" w:sz="8" w:space="0" w:color="auto"/>
            </w:tcBorders>
            <w:shd w:val="clear" w:color="auto" w:fill="auto"/>
            <w:vAlign w:val="center"/>
          </w:tcPr>
          <w:p w:rsidR="00A47FB9" w:rsidRDefault="006A3EE2">
            <w:pPr>
              <w:jc w:val="center"/>
              <w:rPr>
                <w:rFonts w:eastAsia="Calibri" w:cs="Calibri"/>
                <w:color w:val="BFBFBF" w:themeColor="background1" w:themeShade="BF"/>
                <w:szCs w:val="22"/>
                <w:lang w:val="fr-BE" w:eastAsia="en-US"/>
              </w:rPr>
            </w:pPr>
            <w:r>
              <w:rPr>
                <w:rFonts w:eastAsia="Calibri" w:cs="Calibri"/>
                <w:color w:val="BFBFBF" w:themeColor="background1" w:themeShade="BF"/>
                <w:szCs w:val="22"/>
                <w:lang w:val="fr-BE" w:eastAsia="en-US"/>
              </w:rPr>
              <w:t>Langues modernes</w:t>
            </w:r>
            <w:proofErr w:type="gramStart"/>
            <w:r>
              <w:rPr>
                <w:rFonts w:eastAsia="Calibri" w:cs="Calibri"/>
                <w:color w:val="BFBFBF" w:themeColor="background1" w:themeShade="BF"/>
                <w:szCs w:val="22"/>
                <w:lang w:val="fr-BE" w:eastAsia="en-US"/>
              </w:rPr>
              <w:t>,</w:t>
            </w:r>
            <w:proofErr w:type="gramEnd"/>
            <w:r>
              <w:rPr>
                <w:rFonts w:eastAsia="Calibri" w:cs="Calibri"/>
                <w:color w:val="BFBFBF" w:themeColor="background1" w:themeShade="BF"/>
                <w:szCs w:val="22"/>
                <w:lang w:val="fr-BE" w:eastAsia="en-US"/>
              </w:rPr>
              <w:br/>
              <w:t>partie écrite</w:t>
            </w:r>
          </w:p>
        </w:tc>
        <w:tc>
          <w:tcPr>
            <w:tcW w:w="1654" w:type="dxa"/>
            <w:vMerge w:val="restart"/>
            <w:tcBorders>
              <w:top w:val="single" w:sz="8" w:space="0" w:color="auto"/>
              <w:left w:val="single" w:sz="8" w:space="0" w:color="auto"/>
              <w:right w:val="single" w:sz="8" w:space="0" w:color="auto"/>
            </w:tcBorders>
            <w:shd w:val="clear" w:color="auto" w:fill="auto"/>
            <w:vAlign w:val="center"/>
          </w:tcPr>
          <w:p w:rsidR="00A47FB9" w:rsidRDefault="006A3EE2">
            <w:pPr>
              <w:jc w:val="center"/>
              <w:rPr>
                <w:rFonts w:eastAsia="Calibri" w:cs="Calibri"/>
                <w:color w:val="BFBFBF" w:themeColor="background1" w:themeShade="BF"/>
                <w:szCs w:val="22"/>
                <w:lang w:val="fr-BE" w:eastAsia="en-US"/>
              </w:rPr>
            </w:pPr>
            <w:r>
              <w:rPr>
                <w:rFonts w:eastAsia="Calibri" w:cs="Calibri"/>
                <w:color w:val="BFBFBF" w:themeColor="background1" w:themeShade="BF"/>
                <w:szCs w:val="22"/>
                <w:lang w:val="fr-BE" w:eastAsia="en-US"/>
              </w:rPr>
              <w:t>Mathématiques</w:t>
            </w:r>
          </w:p>
        </w:tc>
      </w:tr>
      <w:tr w:rsidR="00A47FB9">
        <w:trPr>
          <w:trHeight w:val="454"/>
          <w:jc w:val="center"/>
        </w:trPr>
        <w:tc>
          <w:tcPr>
            <w:tcW w:w="987" w:type="dxa"/>
            <w:vMerge/>
            <w:tcBorders>
              <w:top w:val="single" w:sz="12" w:space="0" w:color="auto"/>
              <w:left w:val="single" w:sz="8" w:space="0" w:color="auto"/>
              <w:bottom w:val="single" w:sz="12" w:space="0" w:color="auto"/>
              <w:right w:val="single" w:sz="8" w:space="0" w:color="auto"/>
            </w:tcBorders>
            <w:shd w:val="clear" w:color="auto" w:fill="auto"/>
            <w:vAlign w:val="center"/>
          </w:tcPr>
          <w:p w:rsidR="00A47FB9" w:rsidRDefault="00A47FB9">
            <w:pPr>
              <w:jc w:val="center"/>
              <w:rPr>
                <w:rFonts w:eastAsia="Calibri" w:cs="Calibri"/>
                <w:b/>
                <w:szCs w:val="22"/>
                <w:lang w:val="fr-BE" w:eastAsia="en-US"/>
              </w:rPr>
            </w:pPr>
          </w:p>
        </w:tc>
        <w:tc>
          <w:tcPr>
            <w:tcW w:w="964" w:type="dxa"/>
            <w:tcBorders>
              <w:top w:val="single" w:sz="8" w:space="0" w:color="auto"/>
              <w:left w:val="single" w:sz="8" w:space="0" w:color="auto"/>
              <w:bottom w:val="single" w:sz="8" w:space="0" w:color="auto"/>
              <w:right w:val="single" w:sz="8" w:space="0" w:color="auto"/>
            </w:tcBorders>
            <w:shd w:val="clear" w:color="auto" w:fill="auto"/>
            <w:vAlign w:val="center"/>
          </w:tcPr>
          <w:p w:rsidR="00A47FB9" w:rsidRDefault="006A3EE2">
            <w:pPr>
              <w:jc w:val="center"/>
              <w:rPr>
                <w:rFonts w:eastAsia="Calibri" w:cs="Calibri"/>
                <w:b/>
                <w:szCs w:val="22"/>
                <w:lang w:val="fr-BE" w:eastAsia="en-US"/>
              </w:rPr>
            </w:pPr>
            <w:r>
              <w:rPr>
                <w:rFonts w:eastAsia="Calibri" w:cs="Calibri"/>
                <w:b/>
                <w:szCs w:val="22"/>
                <w:lang w:val="fr-BE" w:eastAsia="en-US"/>
              </w:rPr>
              <w:t>50 min</w:t>
            </w:r>
          </w:p>
        </w:tc>
        <w:tc>
          <w:tcPr>
            <w:tcW w:w="1800" w:type="dxa"/>
            <w:vMerge/>
            <w:tcBorders>
              <w:left w:val="single" w:sz="8" w:space="0" w:color="auto"/>
              <w:bottom w:val="single" w:sz="8" w:space="0" w:color="auto"/>
              <w:right w:val="single" w:sz="8" w:space="0" w:color="auto"/>
            </w:tcBorders>
            <w:shd w:val="clear" w:color="auto" w:fill="auto"/>
            <w:vAlign w:val="center"/>
          </w:tcPr>
          <w:p w:rsidR="00A47FB9" w:rsidRDefault="00A47FB9">
            <w:pPr>
              <w:jc w:val="center"/>
              <w:rPr>
                <w:rFonts w:eastAsia="Calibri" w:cs="Calibri"/>
                <w:b/>
                <w:color w:val="BFBFBF" w:themeColor="background1" w:themeShade="BF"/>
                <w:szCs w:val="22"/>
                <w:lang w:val="fr-BE" w:eastAsia="en-US"/>
              </w:rPr>
            </w:pPr>
          </w:p>
        </w:tc>
        <w:tc>
          <w:tcPr>
            <w:tcW w:w="1639" w:type="dxa"/>
            <w:vMerge/>
            <w:tcBorders>
              <w:left w:val="single" w:sz="8" w:space="0" w:color="auto"/>
              <w:bottom w:val="single" w:sz="8" w:space="0" w:color="auto"/>
              <w:right w:val="single" w:sz="8" w:space="0" w:color="auto"/>
            </w:tcBorders>
            <w:shd w:val="clear" w:color="auto" w:fill="auto"/>
            <w:vAlign w:val="center"/>
          </w:tcPr>
          <w:p w:rsidR="00A47FB9" w:rsidRDefault="00A47FB9">
            <w:pPr>
              <w:jc w:val="center"/>
              <w:rPr>
                <w:rFonts w:eastAsia="Calibri" w:cs="Calibri"/>
                <w:b/>
                <w:szCs w:val="22"/>
                <w:lang w:val="fr-BE" w:eastAsia="en-US"/>
              </w:rPr>
            </w:pPr>
          </w:p>
        </w:tc>
        <w:tc>
          <w:tcPr>
            <w:tcW w:w="1981" w:type="dxa"/>
            <w:vMerge/>
            <w:tcBorders>
              <w:left w:val="single" w:sz="8" w:space="0" w:color="auto"/>
              <w:bottom w:val="single" w:sz="8" w:space="0" w:color="auto"/>
              <w:right w:val="single" w:sz="8" w:space="0" w:color="auto"/>
            </w:tcBorders>
            <w:shd w:val="clear" w:color="auto" w:fill="auto"/>
            <w:vAlign w:val="center"/>
          </w:tcPr>
          <w:p w:rsidR="00A47FB9" w:rsidRDefault="00A47FB9">
            <w:pPr>
              <w:jc w:val="center"/>
              <w:rPr>
                <w:rFonts w:eastAsia="Calibri" w:cs="Calibri"/>
                <w:b/>
                <w:color w:val="BFBFBF" w:themeColor="background1" w:themeShade="BF"/>
                <w:szCs w:val="22"/>
                <w:lang w:val="fr-BE" w:eastAsia="en-US"/>
              </w:rPr>
            </w:pPr>
          </w:p>
        </w:tc>
        <w:tc>
          <w:tcPr>
            <w:tcW w:w="1654" w:type="dxa"/>
            <w:vMerge/>
            <w:tcBorders>
              <w:left w:val="single" w:sz="8" w:space="0" w:color="auto"/>
              <w:bottom w:val="single" w:sz="8" w:space="0" w:color="auto"/>
              <w:right w:val="single" w:sz="8" w:space="0" w:color="auto"/>
            </w:tcBorders>
            <w:shd w:val="clear" w:color="auto" w:fill="auto"/>
            <w:vAlign w:val="center"/>
          </w:tcPr>
          <w:p w:rsidR="00A47FB9" w:rsidRDefault="00A47FB9">
            <w:pPr>
              <w:jc w:val="center"/>
              <w:rPr>
                <w:rFonts w:eastAsia="Calibri" w:cs="Calibri"/>
                <w:b/>
                <w:color w:val="BFBFBF" w:themeColor="background1" w:themeShade="BF"/>
                <w:szCs w:val="22"/>
                <w:lang w:val="fr-BE" w:eastAsia="en-US"/>
              </w:rPr>
            </w:pPr>
          </w:p>
        </w:tc>
      </w:tr>
      <w:tr w:rsidR="00A47FB9">
        <w:trPr>
          <w:trHeight w:val="454"/>
          <w:jc w:val="center"/>
        </w:trPr>
        <w:tc>
          <w:tcPr>
            <w:tcW w:w="987" w:type="dxa"/>
            <w:vMerge/>
            <w:tcBorders>
              <w:top w:val="single" w:sz="12" w:space="0" w:color="auto"/>
              <w:left w:val="single" w:sz="8" w:space="0" w:color="auto"/>
              <w:bottom w:val="single" w:sz="12" w:space="0" w:color="auto"/>
              <w:right w:val="single" w:sz="8" w:space="0" w:color="auto"/>
            </w:tcBorders>
            <w:shd w:val="clear" w:color="auto" w:fill="auto"/>
            <w:vAlign w:val="center"/>
          </w:tcPr>
          <w:p w:rsidR="00A47FB9" w:rsidRDefault="00A47FB9">
            <w:pPr>
              <w:jc w:val="center"/>
              <w:rPr>
                <w:rFonts w:eastAsia="Calibri" w:cs="Calibri"/>
                <w:b/>
                <w:szCs w:val="22"/>
                <w:lang w:val="fr-BE" w:eastAsia="en-US"/>
              </w:rPr>
            </w:pPr>
          </w:p>
        </w:tc>
        <w:tc>
          <w:tcPr>
            <w:tcW w:w="8038" w:type="dxa"/>
            <w:gridSpan w:val="5"/>
            <w:tcBorders>
              <w:top w:val="single" w:sz="8" w:space="0" w:color="auto"/>
              <w:left w:val="single" w:sz="8" w:space="0" w:color="auto"/>
              <w:bottom w:val="single" w:sz="8" w:space="0" w:color="auto"/>
              <w:right w:val="single" w:sz="8" w:space="0" w:color="auto"/>
            </w:tcBorders>
            <w:shd w:val="clear" w:color="auto" w:fill="BFBFBF"/>
            <w:vAlign w:val="center"/>
          </w:tcPr>
          <w:p w:rsidR="00A47FB9" w:rsidRDefault="006A3EE2">
            <w:pPr>
              <w:jc w:val="center"/>
              <w:rPr>
                <w:rFonts w:eastAsia="Calibri" w:cs="Calibri"/>
                <w:b/>
                <w:i/>
                <w:color w:val="BFBFBF" w:themeColor="background1" w:themeShade="BF"/>
                <w:szCs w:val="22"/>
                <w:lang w:val="fr-BE" w:eastAsia="en-US"/>
              </w:rPr>
            </w:pPr>
            <w:r>
              <w:rPr>
                <w:rFonts w:eastAsia="Calibri" w:cs="Calibri"/>
                <w:b/>
                <w:i/>
                <w:color w:val="BFBFBF" w:themeColor="background1" w:themeShade="BF"/>
                <w:szCs w:val="22"/>
                <w:lang w:val="fr-BE" w:eastAsia="en-US"/>
              </w:rPr>
              <w:t>Pause</w:t>
            </w:r>
          </w:p>
        </w:tc>
      </w:tr>
      <w:tr w:rsidR="00A47FB9">
        <w:trPr>
          <w:trHeight w:val="454"/>
          <w:jc w:val="center"/>
        </w:trPr>
        <w:tc>
          <w:tcPr>
            <w:tcW w:w="987" w:type="dxa"/>
            <w:vMerge/>
            <w:tcBorders>
              <w:top w:val="single" w:sz="12" w:space="0" w:color="auto"/>
              <w:left w:val="single" w:sz="8" w:space="0" w:color="auto"/>
              <w:bottom w:val="single" w:sz="12" w:space="0" w:color="auto"/>
              <w:right w:val="single" w:sz="8" w:space="0" w:color="auto"/>
            </w:tcBorders>
            <w:shd w:val="clear" w:color="auto" w:fill="auto"/>
            <w:vAlign w:val="center"/>
          </w:tcPr>
          <w:p w:rsidR="00A47FB9" w:rsidRDefault="00A47FB9">
            <w:pPr>
              <w:jc w:val="center"/>
              <w:rPr>
                <w:rFonts w:eastAsia="Calibri" w:cs="Calibri"/>
                <w:b/>
                <w:szCs w:val="22"/>
                <w:lang w:val="fr-BE" w:eastAsia="en-US"/>
              </w:rPr>
            </w:pPr>
          </w:p>
        </w:tc>
        <w:tc>
          <w:tcPr>
            <w:tcW w:w="964" w:type="dxa"/>
            <w:tcBorders>
              <w:top w:val="single" w:sz="8" w:space="0" w:color="auto"/>
              <w:left w:val="single" w:sz="8" w:space="0" w:color="auto"/>
              <w:bottom w:val="single" w:sz="8" w:space="0" w:color="auto"/>
              <w:right w:val="single" w:sz="8" w:space="0" w:color="auto"/>
            </w:tcBorders>
            <w:shd w:val="clear" w:color="auto" w:fill="auto"/>
            <w:vAlign w:val="center"/>
          </w:tcPr>
          <w:p w:rsidR="00A47FB9" w:rsidRDefault="006A3EE2">
            <w:pPr>
              <w:jc w:val="center"/>
              <w:rPr>
                <w:rFonts w:eastAsia="Calibri" w:cs="Calibri"/>
                <w:b/>
                <w:szCs w:val="22"/>
                <w:lang w:val="fr-BE" w:eastAsia="en-US"/>
              </w:rPr>
            </w:pPr>
            <w:r>
              <w:rPr>
                <w:rFonts w:eastAsia="Calibri" w:cs="Calibri"/>
                <w:b/>
                <w:szCs w:val="22"/>
                <w:lang w:val="fr-BE" w:eastAsia="en-US"/>
              </w:rPr>
              <w:t>50 min</w:t>
            </w:r>
          </w:p>
        </w:tc>
        <w:tc>
          <w:tcPr>
            <w:tcW w:w="1800" w:type="dxa"/>
            <w:vMerge w:val="restart"/>
            <w:tcBorders>
              <w:top w:val="single" w:sz="8" w:space="0" w:color="auto"/>
              <w:left w:val="single" w:sz="8" w:space="0" w:color="auto"/>
              <w:right w:val="single" w:sz="8" w:space="0" w:color="auto"/>
            </w:tcBorders>
            <w:shd w:val="clear" w:color="auto" w:fill="auto"/>
            <w:vAlign w:val="center"/>
          </w:tcPr>
          <w:p w:rsidR="00A47FB9" w:rsidRDefault="006A3EE2">
            <w:pPr>
              <w:jc w:val="center"/>
              <w:rPr>
                <w:rFonts w:eastAsia="Calibri" w:cs="Calibri"/>
                <w:b/>
                <w:color w:val="BFBFBF" w:themeColor="background1" w:themeShade="BF"/>
                <w:szCs w:val="22"/>
                <w:lang w:val="fr-BE" w:eastAsia="en-US"/>
              </w:rPr>
            </w:pPr>
            <w:r>
              <w:rPr>
                <w:rFonts w:eastAsia="Calibri" w:cs="Calibri"/>
                <w:color w:val="BFBFBF" w:themeColor="background1" w:themeShade="BF"/>
                <w:szCs w:val="22"/>
                <w:lang w:val="fr-BE" w:eastAsia="en-US"/>
              </w:rPr>
              <w:t>Français</w:t>
            </w:r>
          </w:p>
        </w:tc>
        <w:tc>
          <w:tcPr>
            <w:tcW w:w="1639" w:type="dxa"/>
            <w:tcBorders>
              <w:top w:val="single" w:sz="8" w:space="0" w:color="auto"/>
              <w:left w:val="single" w:sz="8" w:space="0" w:color="auto"/>
              <w:right w:val="single" w:sz="8" w:space="0" w:color="auto"/>
            </w:tcBorders>
            <w:shd w:val="clear" w:color="auto" w:fill="auto"/>
            <w:vAlign w:val="center"/>
          </w:tcPr>
          <w:p w:rsidR="00A47FB9" w:rsidRDefault="006A3EE2">
            <w:pPr>
              <w:jc w:val="center"/>
              <w:rPr>
                <w:rFonts w:eastAsia="Calibri" w:cs="Calibri"/>
                <w:szCs w:val="22"/>
                <w:lang w:val="fr-BE" w:eastAsia="en-US"/>
              </w:rPr>
            </w:pPr>
            <w:r>
              <w:rPr>
                <w:rFonts w:eastAsia="Calibri" w:cs="Calibri"/>
                <w:szCs w:val="22"/>
                <w:lang w:val="fr-BE" w:eastAsia="en-US"/>
              </w:rPr>
              <w:t>Sciences</w:t>
            </w:r>
          </w:p>
        </w:tc>
        <w:tc>
          <w:tcPr>
            <w:tcW w:w="1981" w:type="dxa"/>
            <w:tcBorders>
              <w:top w:val="single" w:sz="4" w:space="0" w:color="auto"/>
              <w:left w:val="single" w:sz="8" w:space="0" w:color="auto"/>
              <w:right w:val="single" w:sz="8" w:space="0" w:color="auto"/>
            </w:tcBorders>
            <w:shd w:val="clear" w:color="auto" w:fill="auto"/>
            <w:vAlign w:val="center"/>
          </w:tcPr>
          <w:p w:rsidR="00A47FB9" w:rsidRDefault="006A3EE2">
            <w:pPr>
              <w:jc w:val="center"/>
              <w:rPr>
                <w:rFonts w:eastAsia="Calibri" w:cs="Calibri"/>
                <w:color w:val="BFBFBF" w:themeColor="background1" w:themeShade="BF"/>
                <w:szCs w:val="22"/>
                <w:lang w:val="fr-BE" w:eastAsia="en-US"/>
              </w:rPr>
            </w:pPr>
            <w:r>
              <w:rPr>
                <w:rFonts w:eastAsia="Calibri" w:cs="Calibri"/>
                <w:color w:val="BFBFBF" w:themeColor="background1" w:themeShade="BF"/>
                <w:szCs w:val="22"/>
                <w:lang w:val="fr-BE" w:eastAsia="en-US"/>
              </w:rPr>
              <w:t>LM, partie écrite</w:t>
            </w:r>
          </w:p>
        </w:tc>
        <w:tc>
          <w:tcPr>
            <w:tcW w:w="1654" w:type="dxa"/>
            <w:vMerge w:val="restart"/>
            <w:tcBorders>
              <w:top w:val="single" w:sz="8" w:space="0" w:color="auto"/>
              <w:left w:val="single" w:sz="8" w:space="0" w:color="auto"/>
              <w:right w:val="single" w:sz="8" w:space="0" w:color="auto"/>
            </w:tcBorders>
            <w:shd w:val="clear" w:color="auto" w:fill="auto"/>
            <w:vAlign w:val="center"/>
          </w:tcPr>
          <w:p w:rsidR="00A47FB9" w:rsidRDefault="006A3EE2">
            <w:pPr>
              <w:jc w:val="center"/>
              <w:rPr>
                <w:rFonts w:eastAsia="Calibri" w:cs="Calibri"/>
                <w:color w:val="BFBFBF" w:themeColor="background1" w:themeShade="BF"/>
                <w:szCs w:val="22"/>
                <w:lang w:val="fr-BE" w:eastAsia="en-US"/>
              </w:rPr>
            </w:pPr>
            <w:r>
              <w:rPr>
                <w:rFonts w:eastAsia="Calibri" w:cs="Calibri"/>
                <w:color w:val="BFBFBF" w:themeColor="background1" w:themeShade="BF"/>
                <w:szCs w:val="22"/>
                <w:lang w:val="fr-BE" w:eastAsia="en-US"/>
              </w:rPr>
              <w:t>Mathématiques</w:t>
            </w:r>
          </w:p>
        </w:tc>
      </w:tr>
      <w:tr w:rsidR="00A47FB9">
        <w:trPr>
          <w:trHeight w:val="454"/>
          <w:jc w:val="center"/>
        </w:trPr>
        <w:tc>
          <w:tcPr>
            <w:tcW w:w="987" w:type="dxa"/>
            <w:vMerge/>
            <w:tcBorders>
              <w:top w:val="single" w:sz="12" w:space="0" w:color="auto"/>
              <w:left w:val="single" w:sz="8" w:space="0" w:color="auto"/>
              <w:bottom w:val="single" w:sz="12" w:space="0" w:color="auto"/>
              <w:right w:val="single" w:sz="8" w:space="0" w:color="auto"/>
            </w:tcBorders>
            <w:shd w:val="clear" w:color="auto" w:fill="auto"/>
            <w:vAlign w:val="center"/>
          </w:tcPr>
          <w:p w:rsidR="00A47FB9" w:rsidRDefault="00A47FB9">
            <w:pPr>
              <w:jc w:val="center"/>
              <w:rPr>
                <w:rFonts w:eastAsia="Calibri" w:cs="Calibri"/>
                <w:b/>
                <w:szCs w:val="22"/>
                <w:lang w:val="fr-BE" w:eastAsia="en-US"/>
              </w:rPr>
            </w:pPr>
          </w:p>
        </w:tc>
        <w:tc>
          <w:tcPr>
            <w:tcW w:w="964" w:type="dxa"/>
            <w:tcBorders>
              <w:top w:val="single" w:sz="8" w:space="0" w:color="auto"/>
              <w:left w:val="single" w:sz="8" w:space="0" w:color="auto"/>
              <w:bottom w:val="single" w:sz="8" w:space="0" w:color="auto"/>
              <w:right w:val="single" w:sz="8" w:space="0" w:color="auto"/>
            </w:tcBorders>
            <w:shd w:val="clear" w:color="auto" w:fill="auto"/>
            <w:vAlign w:val="center"/>
          </w:tcPr>
          <w:p w:rsidR="00A47FB9" w:rsidRDefault="006A3EE2">
            <w:pPr>
              <w:jc w:val="center"/>
              <w:rPr>
                <w:rFonts w:eastAsia="Calibri" w:cs="Calibri"/>
                <w:b/>
                <w:szCs w:val="22"/>
                <w:lang w:val="fr-BE" w:eastAsia="en-US"/>
              </w:rPr>
            </w:pPr>
            <w:r>
              <w:rPr>
                <w:rFonts w:eastAsia="Calibri" w:cs="Calibri"/>
                <w:b/>
                <w:szCs w:val="22"/>
                <w:lang w:val="fr-BE" w:eastAsia="en-US"/>
              </w:rPr>
              <w:t>50 min</w:t>
            </w:r>
          </w:p>
        </w:tc>
        <w:tc>
          <w:tcPr>
            <w:tcW w:w="1800" w:type="dxa"/>
            <w:vMerge/>
            <w:tcBorders>
              <w:left w:val="single" w:sz="8" w:space="0" w:color="auto"/>
              <w:right w:val="single" w:sz="8" w:space="0" w:color="auto"/>
            </w:tcBorders>
            <w:shd w:val="clear" w:color="auto" w:fill="A6A6A6"/>
            <w:vAlign w:val="center"/>
          </w:tcPr>
          <w:p w:rsidR="00A47FB9" w:rsidRDefault="00A47FB9">
            <w:pPr>
              <w:jc w:val="center"/>
              <w:rPr>
                <w:rFonts w:eastAsia="Calibri" w:cs="Calibri"/>
                <w:b/>
                <w:szCs w:val="22"/>
                <w:lang w:val="fr-BE" w:eastAsia="en-US"/>
              </w:rPr>
            </w:pPr>
          </w:p>
        </w:tc>
        <w:tc>
          <w:tcPr>
            <w:tcW w:w="1639" w:type="dxa"/>
            <w:tcBorders>
              <w:left w:val="single" w:sz="8" w:space="0" w:color="auto"/>
              <w:right w:val="single" w:sz="8" w:space="0" w:color="auto"/>
            </w:tcBorders>
            <w:shd w:val="clear" w:color="auto" w:fill="A6A6A6"/>
            <w:vAlign w:val="center"/>
          </w:tcPr>
          <w:p w:rsidR="00A47FB9" w:rsidRDefault="00A47FB9">
            <w:pPr>
              <w:jc w:val="center"/>
              <w:rPr>
                <w:rFonts w:eastAsia="Calibri" w:cs="Calibri"/>
                <w:b/>
                <w:szCs w:val="22"/>
                <w:lang w:val="fr-BE" w:eastAsia="en-US"/>
              </w:rPr>
            </w:pPr>
          </w:p>
        </w:tc>
        <w:tc>
          <w:tcPr>
            <w:tcW w:w="1981" w:type="dxa"/>
            <w:tcBorders>
              <w:left w:val="single" w:sz="8" w:space="0" w:color="auto"/>
              <w:right w:val="single" w:sz="8" w:space="0" w:color="auto"/>
            </w:tcBorders>
            <w:shd w:val="clear" w:color="auto" w:fill="A6A6A6"/>
            <w:vAlign w:val="center"/>
          </w:tcPr>
          <w:p w:rsidR="00A47FB9" w:rsidRDefault="00A47FB9">
            <w:pPr>
              <w:jc w:val="center"/>
              <w:rPr>
                <w:rFonts w:eastAsia="Calibri" w:cs="Calibri"/>
                <w:b/>
                <w:szCs w:val="22"/>
                <w:lang w:val="fr-BE" w:eastAsia="en-US"/>
              </w:rPr>
            </w:pPr>
          </w:p>
        </w:tc>
        <w:tc>
          <w:tcPr>
            <w:tcW w:w="1654" w:type="dxa"/>
            <w:vMerge/>
            <w:tcBorders>
              <w:left w:val="single" w:sz="8" w:space="0" w:color="auto"/>
              <w:bottom w:val="single" w:sz="8" w:space="0" w:color="auto"/>
              <w:right w:val="single" w:sz="8" w:space="0" w:color="auto"/>
            </w:tcBorders>
            <w:shd w:val="clear" w:color="auto" w:fill="A6A6A6"/>
            <w:vAlign w:val="center"/>
          </w:tcPr>
          <w:p w:rsidR="00A47FB9" w:rsidRDefault="00A47FB9">
            <w:pPr>
              <w:jc w:val="center"/>
              <w:rPr>
                <w:rFonts w:eastAsia="Calibri" w:cs="Calibri"/>
                <w:szCs w:val="22"/>
                <w:lang w:val="fr-BE" w:eastAsia="en-US"/>
              </w:rPr>
            </w:pPr>
          </w:p>
        </w:tc>
      </w:tr>
      <w:tr w:rsidR="00A47FB9">
        <w:trPr>
          <w:trHeight w:val="245"/>
          <w:jc w:val="center"/>
        </w:trPr>
        <w:tc>
          <w:tcPr>
            <w:tcW w:w="9025" w:type="dxa"/>
            <w:gridSpan w:val="6"/>
            <w:tcBorders>
              <w:top w:val="single" w:sz="12" w:space="0" w:color="auto"/>
              <w:left w:val="single" w:sz="8" w:space="0" w:color="auto"/>
              <w:bottom w:val="single" w:sz="8" w:space="0" w:color="auto"/>
              <w:right w:val="single" w:sz="8" w:space="0" w:color="auto"/>
            </w:tcBorders>
            <w:shd w:val="clear" w:color="auto" w:fill="auto"/>
            <w:vAlign w:val="center"/>
          </w:tcPr>
          <w:p w:rsidR="00A47FB9" w:rsidRDefault="006A3EE2">
            <w:pPr>
              <w:jc w:val="center"/>
              <w:rPr>
                <w:rFonts w:eastAsia="Calibri" w:cs="Calibri"/>
                <w:i/>
                <w:szCs w:val="22"/>
                <w:lang w:val="fr-BE" w:eastAsia="en-US"/>
              </w:rPr>
            </w:pPr>
            <w:r>
              <w:rPr>
                <w:rFonts w:eastAsia="Calibri" w:cs="Calibri"/>
                <w:i/>
                <w:color w:val="BFBFBF" w:themeColor="background1" w:themeShade="BF"/>
                <w:szCs w:val="22"/>
                <w:lang w:val="fr-BE" w:eastAsia="en-US"/>
              </w:rPr>
              <w:t xml:space="preserve">Langues modernes, partie orale : entre les lundis 14/6 et 21/6 à la libre </w:t>
            </w:r>
            <w:r>
              <w:rPr>
                <w:rFonts w:eastAsia="Calibri" w:cs="Calibri"/>
                <w:i/>
                <w:color w:val="BFBFBF" w:themeColor="background1" w:themeShade="BF"/>
                <w:szCs w:val="22"/>
                <w:lang w:val="fr-BE" w:eastAsia="en-US"/>
              </w:rPr>
              <w:t>convenance des écoles.</w:t>
            </w:r>
          </w:p>
        </w:tc>
      </w:tr>
    </w:tbl>
    <w:p w:rsidR="00A47FB9" w:rsidRDefault="00A47FB9">
      <w:pPr>
        <w:rPr>
          <w:lang w:val="fr-BE"/>
        </w:rPr>
      </w:pPr>
    </w:p>
    <w:p w:rsidR="00A47FB9" w:rsidRDefault="006A3EE2">
      <w:r>
        <w:rPr>
          <w:rFonts w:cs="Arial"/>
        </w:rPr>
        <w:t>L’</w:t>
      </w:r>
      <w:r>
        <w:t xml:space="preserve">épreuve est fixée </w:t>
      </w:r>
      <w:r>
        <w:rPr>
          <w:b/>
        </w:rPr>
        <w:t xml:space="preserve">le jeudi </w:t>
      </w:r>
      <w:r>
        <w:rPr>
          <w:rFonts w:cs="Arial"/>
          <w:b/>
          <w:sz w:val="20"/>
          <w:szCs w:val="20"/>
        </w:rPr>
        <w:t>17 juin 2021</w:t>
      </w:r>
      <w:r>
        <w:rPr>
          <w:rFonts w:cs="Arial"/>
          <w:sz w:val="20"/>
          <w:szCs w:val="20"/>
        </w:rPr>
        <w:t xml:space="preserve"> et </w:t>
      </w:r>
      <w:r>
        <w:rPr>
          <w:rFonts w:cs="Calibri"/>
          <w:sz w:val="20"/>
          <w:szCs w:val="20"/>
        </w:rPr>
        <w:t>débute entre 8h15 et 8h45 selon les dispositions pratiques définies par la direction ou le pouvoir organisateur.</w:t>
      </w:r>
    </w:p>
    <w:p w:rsidR="00A47FB9" w:rsidRDefault="006A3EE2">
      <w:r>
        <w:t xml:space="preserve">La durée de passation de l’épreuve de sciences a été fixée à </w:t>
      </w:r>
      <w:r>
        <w:rPr>
          <w:b/>
        </w:rPr>
        <w:t>150 minutes</w:t>
      </w:r>
      <w:r>
        <w:t xml:space="preserve"> </w:t>
      </w:r>
      <w:r>
        <w:rPr>
          <w:b/>
        </w:rPr>
        <w:t>effectives</w:t>
      </w:r>
      <w:r>
        <w:t>. Celles-ci sont réparties en deux blocs entrecoupés d’une pause : le premier de 100 minutes et le second de 50 minutes.</w:t>
      </w:r>
    </w:p>
    <w:p w:rsidR="00A47FB9" w:rsidRDefault="006A3EE2">
      <w:pPr>
        <w:rPr>
          <w:rFonts w:cs="Calibri"/>
          <w:szCs w:val="22"/>
        </w:rPr>
      </w:pPr>
      <w:r>
        <w:rPr>
          <w:rFonts w:cs="Calibri"/>
          <w:szCs w:val="22"/>
        </w:rPr>
        <w:t>Le second bloc comprend une expérience qui sera réalisée de préférence devant les élèves par l’enseignant ou la personne char</w:t>
      </w:r>
      <w:r>
        <w:rPr>
          <w:rFonts w:cs="Calibri"/>
          <w:szCs w:val="22"/>
        </w:rPr>
        <w:t>gée de la surveillance de l’épreuve. Cette expérience, d’une durée approximative de 10 minutes, ne nécessite pas d’être réalisée dans un laboratoire. Cependant, afin d’optimaliser la visibilité du résultat, les élèves doivent idéalement être placés dans un</w:t>
      </w:r>
      <w:r>
        <w:rPr>
          <w:rFonts w:cs="Calibri"/>
          <w:szCs w:val="22"/>
        </w:rPr>
        <w:t xml:space="preserve"> local classe. Si les conditions ne permettent pas la réalisation en direct, les enseignants pourront utiliser une vidéo de l’expérience qui sera téléchargeable le matin de l’épreuve à partir de la plateforme </w:t>
      </w:r>
      <w:r>
        <w:rPr>
          <w:rFonts w:cs="Calibri"/>
          <w:caps/>
          <w:szCs w:val="22"/>
        </w:rPr>
        <w:t>Evalext</w:t>
      </w:r>
      <w:r>
        <w:rPr>
          <w:rFonts w:cs="Calibri"/>
          <w:szCs w:val="22"/>
        </w:rPr>
        <w:t xml:space="preserve">. Les formats </w:t>
      </w:r>
      <w:proofErr w:type="gramStart"/>
      <w:r>
        <w:rPr>
          <w:rFonts w:cs="Calibri"/>
          <w:szCs w:val="22"/>
        </w:rPr>
        <w:t>vidéos</w:t>
      </w:r>
      <w:proofErr w:type="gramEnd"/>
      <w:r>
        <w:rPr>
          <w:rFonts w:cs="Calibri"/>
          <w:szCs w:val="22"/>
        </w:rPr>
        <w:t xml:space="preserve"> fournis seront MKV </w:t>
      </w:r>
      <w:r>
        <w:rPr>
          <w:rFonts w:cs="Calibri"/>
          <w:szCs w:val="22"/>
        </w:rPr>
        <w:t>et MP4</w:t>
      </w:r>
      <w:r>
        <w:rPr>
          <w:rStyle w:val="Appelnotedebasdep"/>
          <w:rFonts w:cs="Calibri"/>
          <w:szCs w:val="22"/>
        </w:rPr>
        <w:footnoteReference w:id="1"/>
      </w:r>
      <w:r>
        <w:rPr>
          <w:rFonts w:cs="Calibri"/>
          <w:szCs w:val="22"/>
        </w:rPr>
        <w:t>.</w:t>
      </w:r>
    </w:p>
    <w:p w:rsidR="00A47FB9" w:rsidRDefault="006A3EE2">
      <w:pPr>
        <w:rPr>
          <w:rFonts w:cs="Calibri"/>
          <w:szCs w:val="22"/>
        </w:rPr>
      </w:pPr>
      <w:r>
        <w:rPr>
          <w:rFonts w:cs="Calibri"/>
          <w:szCs w:val="22"/>
        </w:rPr>
        <w:t xml:space="preserve">Les </w:t>
      </w:r>
      <w:r>
        <w:rPr>
          <w:rFonts w:cs="Calibri"/>
          <w:b/>
          <w:szCs w:val="22"/>
        </w:rPr>
        <w:t>modalités générales de passation</w:t>
      </w:r>
      <w:r>
        <w:rPr>
          <w:rFonts w:cs="Calibri"/>
          <w:szCs w:val="22"/>
        </w:rPr>
        <w:t xml:space="preserve"> seront explicitées dans le </w:t>
      </w:r>
      <w:r>
        <w:rPr>
          <w:rFonts w:cs="Calibri"/>
          <w:b/>
          <w:szCs w:val="22"/>
        </w:rPr>
        <w:t xml:space="preserve">guide de passation </w:t>
      </w:r>
      <w:r>
        <w:rPr>
          <w:rFonts w:cs="Calibri"/>
          <w:szCs w:val="22"/>
        </w:rPr>
        <w:t xml:space="preserve">(anciennement « dossier de l’enseignant »), téléchargeable à partir du 7 juin 2021. </w:t>
      </w:r>
      <w:r>
        <w:rPr>
          <w:rFonts w:cs="Calibri"/>
          <w:b/>
          <w:szCs w:val="22"/>
        </w:rPr>
        <w:t>Dès la mise en ligne du guide</w:t>
      </w:r>
      <w:r>
        <w:rPr>
          <w:rFonts w:cs="Calibri"/>
          <w:szCs w:val="22"/>
        </w:rPr>
        <w:t xml:space="preserve">, la direction d’école est tenue de le transmettre </w:t>
      </w:r>
      <w:r>
        <w:rPr>
          <w:rFonts w:cs="Calibri"/>
          <w:szCs w:val="22"/>
        </w:rPr>
        <w:t>aux professeurs concernés.</w:t>
      </w:r>
    </w:p>
    <w:p w:rsidR="00A47FB9" w:rsidRDefault="006A3EE2">
      <w:pPr>
        <w:tabs>
          <w:tab w:val="left" w:pos="540"/>
        </w:tabs>
        <w:rPr>
          <w:rFonts w:cs="Calibri"/>
          <w:szCs w:val="22"/>
        </w:rPr>
      </w:pPr>
      <w:r>
        <w:rPr>
          <w:rFonts w:cs="Calibri"/>
          <w:szCs w:val="22"/>
        </w:rPr>
        <w:t xml:space="preserve">Les </w:t>
      </w:r>
      <w:r>
        <w:rPr>
          <w:rFonts w:cs="Calibri"/>
          <w:b/>
          <w:szCs w:val="22"/>
        </w:rPr>
        <w:t xml:space="preserve">modalités pratiques liées à l’expérience </w:t>
      </w:r>
      <w:r>
        <w:rPr>
          <w:rFonts w:cs="Calibri"/>
          <w:szCs w:val="22"/>
        </w:rPr>
        <w:t>seront quant à elles rendues disponibles au téléchargement à partir du 10 juin 2021. Ce délai avant la date de l’épreuve permet aux enseignants concernés de rassembler le matériel et d</w:t>
      </w:r>
      <w:r>
        <w:rPr>
          <w:rFonts w:cs="Calibri"/>
          <w:szCs w:val="22"/>
        </w:rPr>
        <w:t xml:space="preserve">e tester l’expérience. </w:t>
      </w:r>
      <w:r>
        <w:rPr>
          <w:rFonts w:cs="Calibri"/>
          <w:b/>
          <w:szCs w:val="22"/>
        </w:rPr>
        <w:t xml:space="preserve">Ces informations délivrées avant l’épreuve sont soumises à la </w:t>
      </w:r>
      <w:r>
        <w:rPr>
          <w:rFonts w:cs="Calibri"/>
          <w:b/>
          <w:szCs w:val="22"/>
          <w:u w:val="single"/>
        </w:rPr>
        <w:t>confidentialité</w:t>
      </w:r>
      <w:r>
        <w:rPr>
          <w:rFonts w:cs="Calibri"/>
          <w:b/>
          <w:szCs w:val="22"/>
        </w:rPr>
        <w:t>.</w:t>
      </w:r>
    </w:p>
    <w:p w:rsidR="00A47FB9" w:rsidRDefault="006A3EE2">
      <w:pPr>
        <w:rPr>
          <w:rFonts w:cs="Calibri"/>
          <w:szCs w:val="22"/>
        </w:rPr>
      </w:pPr>
      <w:r>
        <w:rPr>
          <w:rFonts w:cs="Calibri"/>
          <w:szCs w:val="22"/>
        </w:rPr>
        <w:lastRenderedPageBreak/>
        <w:t xml:space="preserve">Chaque élève devra disposer des outils suivants : </w:t>
      </w:r>
      <w:r>
        <w:rPr>
          <w:rFonts w:cs="Calibri"/>
          <w:b/>
          <w:szCs w:val="22"/>
        </w:rPr>
        <w:t>une latte, éventuellement une équerre, un crayon noir, des crayons de couleur, une gomme et des feuilles</w:t>
      </w:r>
      <w:r>
        <w:rPr>
          <w:rFonts w:cs="Calibri"/>
          <w:b/>
          <w:szCs w:val="22"/>
        </w:rPr>
        <w:t xml:space="preserve"> vierges pour la prise de note lors de l’expérience</w:t>
      </w:r>
      <w:r>
        <w:rPr>
          <w:rFonts w:cs="Calibri"/>
          <w:szCs w:val="22"/>
        </w:rPr>
        <w:t>. L'utilisation d'un dictionnaire ou de fiches-outils n'est pas autorisée.</w:t>
      </w:r>
    </w:p>
    <w:p w:rsidR="00A47FB9" w:rsidRDefault="006A3EE2">
      <w:pPr>
        <w:rPr>
          <w:lang w:val="fr-BE"/>
        </w:rPr>
      </w:pPr>
      <w:r>
        <w:rPr>
          <w:lang w:val="fr-BE"/>
        </w:rPr>
        <w:t xml:space="preserve">À titre d’illustration, les épreuves des années précédentes sont accessibles sur le site enseignement.be à l’adresse suivante : </w:t>
      </w:r>
      <w:hyperlink r:id="rId10" w:history="1">
        <w:r>
          <w:rPr>
            <w:rStyle w:val="Lienhypertexte"/>
            <w:rFonts w:cs="Calibri"/>
            <w:szCs w:val="22"/>
            <w:lang w:val="fr-BE"/>
          </w:rPr>
          <w:t>www.enseignement.be/ce1d</w:t>
        </w:r>
      </w:hyperlink>
      <w:r>
        <w:rPr>
          <w:lang w:val="fr-BE"/>
        </w:rPr>
        <w:t>.</w:t>
      </w:r>
    </w:p>
    <w:p w:rsidR="00A47FB9" w:rsidRDefault="006A3EE2">
      <w:pPr>
        <w:rPr>
          <w:lang w:val="fr-BE"/>
        </w:rPr>
      </w:pPr>
      <w:r>
        <w:t xml:space="preserve">Les élèves à besoins spécifiques peuvent bénéficier d’aménagements lors de l’épreuve, soit au niveau des modalités de passation (ex. temps supplémentaire), soit au niveau du format de </w:t>
      </w:r>
      <w:r>
        <w:t>l’épreuve (s’ils travaillent habituellement sur des documents adaptés). Les informations complètes figurent au point B.4 de la circulaire</w:t>
      </w:r>
      <w:r>
        <w:rPr>
          <w:rStyle w:val="Appelnotedebasdep"/>
        </w:rPr>
        <w:footnoteReference w:id="2"/>
      </w:r>
      <w:r>
        <w:t>.</w:t>
      </w:r>
    </w:p>
    <w:p w:rsidR="00A47FB9" w:rsidRDefault="006A3EE2">
      <w:pPr>
        <w:pStyle w:val="Titre1"/>
        <w:rPr>
          <w:lang w:val="fr-BE"/>
        </w:rPr>
      </w:pPr>
      <w:r>
        <w:rPr>
          <w:lang w:val="fr-BE"/>
        </w:rPr>
        <w:t>Contenu</w:t>
      </w:r>
    </w:p>
    <w:p w:rsidR="00A47FB9" w:rsidRDefault="006A3EE2">
      <w:r>
        <w:t>Pour les quatre domaines concernés par l’épreuve que sont l’énergie, les êtres vivants, l’air, l’eau et le s</w:t>
      </w:r>
      <w:r>
        <w:t xml:space="preserve">ol, la matière, il est recommandé d’enseigner les savoirs repris en priorité 1 dans les </w:t>
      </w:r>
      <w:r>
        <w:rPr>
          <w:rFonts w:asciiTheme="minorHAnsi" w:hAnsiTheme="minorHAnsi"/>
          <w:szCs w:val="22"/>
          <w:lang w:val="fr-BE" w:eastAsia="en-US"/>
        </w:rPr>
        <w:t>« Essentiels et balises diagnostiques pour la rentrée 2020 »</w:t>
      </w:r>
      <w:r>
        <w:rPr>
          <w:rStyle w:val="Appelnotedebasdep"/>
          <w:rFonts w:asciiTheme="minorHAnsi" w:hAnsiTheme="minorHAnsi"/>
          <w:szCs w:val="22"/>
          <w:lang w:val="fr-BE" w:eastAsia="en-US"/>
        </w:rPr>
        <w:footnoteReference w:id="3"/>
      </w:r>
      <w:r>
        <w:t>.</w:t>
      </w:r>
    </w:p>
    <w:p w:rsidR="00A47FB9" w:rsidRDefault="006A3EE2">
      <w:r>
        <w:t>Pour tous les domaines, en ce compris les hommes et l’environnement ainsi que l’histoire de la vie et des</w:t>
      </w:r>
      <w:r>
        <w:t xml:space="preserve"> sciences, il est conseillé de s’assurer que chaque savoir-faire repris en priorité 1 dans les essentiels ait été exercé au moins une fois durant l’année scolaire. </w:t>
      </w:r>
    </w:p>
    <w:p w:rsidR="00A47FB9" w:rsidRDefault="006A3EE2">
      <w:r>
        <w:t>Afin d’atteindre le niveau de compétence attendu, la mise en œuvre de la démarche scientifi</w:t>
      </w:r>
      <w:r>
        <w:t>que devrait être exercée dans sa globalité, au moins une fois au cours de l’année scolaire.</w:t>
      </w:r>
    </w:p>
    <w:p w:rsidR="00A47FB9" w:rsidRDefault="006A3EE2">
      <w:pPr>
        <w:pStyle w:val="Titre1"/>
        <w:rPr>
          <w:lang w:val="fr-BE"/>
        </w:rPr>
      </w:pPr>
      <w:r>
        <w:rPr>
          <w:lang w:val="fr-BE"/>
        </w:rPr>
        <w:t>Documents pour les enseignants</w:t>
      </w:r>
    </w:p>
    <w:p w:rsidR="00A47FB9" w:rsidRDefault="006A3EE2">
      <w:r>
        <w:t>Différents documents seront téléchargeables sur la plateforme EVALEXT par la direction ou le pouvoir organisateur, puis remis aux ens</w:t>
      </w:r>
      <w:r>
        <w:t>eignants :</w:t>
      </w:r>
    </w:p>
    <w:p w:rsidR="00A47FB9" w:rsidRDefault="006A3EE2">
      <w:pPr>
        <w:pStyle w:val="Listepuces"/>
      </w:pPr>
      <w:r>
        <w:t>le 7 juin 2021 : le guide de passation (anciennement « dossier de l’enseignant ») ;</w:t>
      </w:r>
    </w:p>
    <w:p w:rsidR="00A47FB9" w:rsidRDefault="006A3EE2">
      <w:pPr>
        <w:pStyle w:val="Listepuces"/>
      </w:pPr>
      <w:r>
        <w:t>le 10 juin 2021 : la fiche de préparation de l’expérience ;</w:t>
      </w:r>
    </w:p>
    <w:p w:rsidR="00A47FB9" w:rsidRDefault="006A3EE2">
      <w:pPr>
        <w:pStyle w:val="Listepuces"/>
      </w:pPr>
      <w:r>
        <w:t>le matin de l’épreuve dès 7h : les versions adaptées V2 (Arial 14) au format électronique et la vidéo</w:t>
      </w:r>
      <w:r>
        <w:t xml:space="preserve"> de l’expérience ;</w:t>
      </w:r>
    </w:p>
    <w:p w:rsidR="00A47FB9" w:rsidRDefault="006A3EE2">
      <w:pPr>
        <w:pStyle w:val="Listepuces"/>
      </w:pPr>
      <w:r>
        <w:t>le jour de l’épreuve dès 11h15 : le guide de correction.</w:t>
      </w:r>
    </w:p>
    <w:p w:rsidR="00A47FB9" w:rsidRDefault="006A3EE2">
      <w:r>
        <w:t>La grille d’encodage des résultats, pré-remplie par l’Administration, sera envoyée par e-mail aux directions d’école pour le 7 juin 2021 et pourra être remise directement aux ensei</w:t>
      </w:r>
      <w:r>
        <w:t>gnants.</w:t>
      </w:r>
    </w:p>
    <w:p w:rsidR="00A47FB9" w:rsidRDefault="006A3EE2">
      <w:pPr>
        <w:pStyle w:val="Titre1"/>
        <w:rPr>
          <w:lang w:val="fr-BE"/>
        </w:rPr>
      </w:pPr>
      <w:r>
        <w:rPr>
          <w:lang w:val="fr-BE"/>
        </w:rPr>
        <w:lastRenderedPageBreak/>
        <w:t>Modalités de réussite</w:t>
      </w:r>
    </w:p>
    <w:p w:rsidR="00A47FB9" w:rsidRDefault="006A3EE2">
      <w:r>
        <w:t>Le seuil de réussite de cette épreuve est fixé à 50 % de moyenne.</w:t>
      </w:r>
    </w:p>
    <w:p w:rsidR="00A47FB9" w:rsidRDefault="006A3EE2">
      <w:pPr>
        <w:rPr>
          <w:rFonts w:cs="Calibri"/>
          <w:b/>
          <w:szCs w:val="22"/>
        </w:rPr>
      </w:pPr>
      <w:r>
        <w:rPr>
          <w:rFonts w:cs="Calibri"/>
          <w:b/>
          <w:szCs w:val="22"/>
        </w:rPr>
        <w:t>Dans le cas où, en raison de la situation sanitaire, tous les essentiels n’auraient pas pu été enseignés, la procédure suivante sera appliquée, de façon excepti</w:t>
      </w:r>
      <w:r>
        <w:rPr>
          <w:rFonts w:cs="Calibri"/>
          <w:b/>
          <w:szCs w:val="22"/>
        </w:rPr>
        <w:t xml:space="preserve">onnelle : </w:t>
      </w:r>
    </w:p>
    <w:p w:rsidR="00A47FB9" w:rsidRDefault="006A3EE2">
      <w:pPr>
        <w:pStyle w:val="Listepuces"/>
      </w:pPr>
      <w:r>
        <w:t>Préalablement à l’épreuve, chaque enseignant fait le bilan des matières identifiées comme étant essentielles et qui n’ont pas pu faire l’objet d’un apprentissage.</w:t>
      </w:r>
    </w:p>
    <w:p w:rsidR="00A47FB9" w:rsidRDefault="006A3EE2">
      <w:pPr>
        <w:pStyle w:val="Listepuces"/>
      </w:pPr>
      <w:r>
        <w:t xml:space="preserve">Dès la fin de l’encodage des résultats, l’enseignant calcule, </w:t>
      </w:r>
      <w:r>
        <w:rPr>
          <w:b/>
          <w:u w:val="single"/>
        </w:rPr>
        <w:t>à titre indicatif</w:t>
      </w:r>
      <w:r>
        <w:t>, p</w:t>
      </w:r>
      <w:r>
        <w:t>our chaque élève ayant échoué, le score obtenu à l’épreuve en ne prenant pas en compte les questions liées à des matières non vues. Un outil sera mis à disposition afin de faciliter le calcul. Lors des délibérations du conseil de classe, le bilan et le sco</w:t>
      </w:r>
      <w:r>
        <w:t>re indicatif sont également exploités afin de prendre la décision la plus juste pour chaque élève en situation d’échec.</w:t>
      </w:r>
    </w:p>
    <w:p w:rsidR="00A47FB9" w:rsidRDefault="006A3EE2">
      <w:pPr>
        <w:pStyle w:val="Listepuces"/>
      </w:pPr>
      <w:r>
        <w:t>Le conseil de classe motive sa décision d’octroi/de non-octroi suite à sa délibération. Les motivations, en ce compris le score indicati</w:t>
      </w:r>
      <w:r>
        <w:t>f, sont transmises à l’élève et à ses parents afin que ceux-ci puissent être conscients des lacunes et du besoin éventuel de remédiation.</w:t>
      </w:r>
    </w:p>
    <w:p w:rsidR="00A47FB9" w:rsidRDefault="00A47FB9">
      <w:pPr>
        <w:rPr>
          <w:lang w:val="fr-BE"/>
        </w:rPr>
      </w:pPr>
    </w:p>
    <w:sectPr w:rsidR="00A47FB9">
      <w:footerReference w:type="default" r:id="rId11"/>
      <w:headerReference w:type="first" r:id="rId12"/>
      <w:footerReference w:type="first" r:id="rId13"/>
      <w:pgSz w:w="11906" w:h="16838"/>
      <w:pgMar w:top="1417" w:right="1417" w:bottom="1417" w:left="1417"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FB9" w:rsidRDefault="006A3EE2">
      <w:r>
        <w:separator/>
      </w:r>
    </w:p>
    <w:p w:rsidR="00A47FB9" w:rsidRDefault="00A47FB9"/>
  </w:endnote>
  <w:endnote w:type="continuationSeparator" w:id="0">
    <w:p w:rsidR="00A47FB9" w:rsidRDefault="006A3EE2">
      <w:r>
        <w:continuationSeparator/>
      </w:r>
    </w:p>
    <w:p w:rsidR="00A47FB9" w:rsidRDefault="00A47F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FB9" w:rsidRDefault="006A3EE2">
    <w:pPr>
      <w:pStyle w:val="Pieddepage"/>
      <w:jc w:val="right"/>
    </w:pPr>
    <w:r>
      <w:rPr>
        <w:rFonts w:cs="Calibri"/>
        <w:szCs w:val="22"/>
      </w:rPr>
      <w:fldChar w:fldCharType="begin"/>
    </w:r>
    <w:r>
      <w:rPr>
        <w:rFonts w:cs="Calibri"/>
        <w:szCs w:val="22"/>
      </w:rPr>
      <w:instrText>PAGE   \* MERGEFORMAT</w:instrText>
    </w:r>
    <w:r>
      <w:rPr>
        <w:rFonts w:cs="Calibri"/>
        <w:szCs w:val="22"/>
      </w:rPr>
      <w:fldChar w:fldCharType="separate"/>
    </w:r>
    <w:r>
      <w:rPr>
        <w:rFonts w:cs="Calibri"/>
        <w:noProof/>
        <w:szCs w:val="22"/>
      </w:rPr>
      <w:t>4</w:t>
    </w:r>
    <w:r>
      <w:rPr>
        <w:rFonts w:cs="Calibri"/>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FB9" w:rsidRDefault="006A3EE2">
    <w:pPr>
      <w:jc w:val="left"/>
    </w:pPr>
    <w:r>
      <w:rPr>
        <w:rFonts w:cs="Calibri"/>
        <w:i/>
        <w:sz w:val="18"/>
        <w:szCs w:val="18"/>
      </w:rPr>
      <w:t xml:space="preserve">À titre d’illustration, les épreuves des années précédentes sont accessibles sur </w:t>
    </w:r>
    <w:hyperlink r:id="rId1" w:history="1">
      <w:r>
        <w:rPr>
          <w:rStyle w:val="Lienhypertexte"/>
          <w:rFonts w:cs="Calibri"/>
          <w:i/>
          <w:sz w:val="18"/>
          <w:szCs w:val="18"/>
        </w:rPr>
        <w:t>www.enseignement.be/ce1d</w:t>
      </w:r>
    </w:hyperlink>
    <w:r>
      <w:rPr>
        <w:rFonts w:cs="Calibri"/>
        <w:i/>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FB9" w:rsidRDefault="006A3EE2">
      <w:r>
        <w:separator/>
      </w:r>
    </w:p>
  </w:footnote>
  <w:footnote w:type="continuationSeparator" w:id="0">
    <w:p w:rsidR="00A47FB9" w:rsidRDefault="006A3EE2">
      <w:r>
        <w:continuationSeparator/>
      </w:r>
    </w:p>
    <w:p w:rsidR="00A47FB9" w:rsidRDefault="00A47FB9"/>
  </w:footnote>
  <w:footnote w:id="1">
    <w:p w:rsidR="00A47FB9" w:rsidRDefault="006A3EE2">
      <w:pPr>
        <w:pStyle w:val="Notedebasdepage"/>
        <w:rPr>
          <w:lang w:val="fr-BE"/>
        </w:rPr>
      </w:pPr>
      <w:r>
        <w:rPr>
          <w:rStyle w:val="Appelnotedebasdep"/>
        </w:rPr>
        <w:footnoteRef/>
      </w:r>
      <w:r>
        <w:t xml:space="preserve"> Les formats MKV et MP4 peuvent être lus par de nombreux logiciels dont VLC Media Player (logiciel libre) et Windows Media Player.</w:t>
      </w:r>
    </w:p>
  </w:footnote>
  <w:footnote w:id="2">
    <w:p w:rsidR="00A47FB9" w:rsidRDefault="006A3EE2">
      <w:pPr>
        <w:pStyle w:val="Notedebasdepage"/>
        <w:rPr>
          <w:lang w:val="fr-BE"/>
        </w:rPr>
      </w:pPr>
      <w:r>
        <w:rPr>
          <w:rStyle w:val="Appelnotedebasdep"/>
        </w:rPr>
        <w:footnoteRef/>
      </w:r>
      <w:r>
        <w:t xml:space="preserve"> La circulaire complète est téléchargeable sur </w:t>
      </w:r>
      <w:hyperlink r:id="rId1" w:history="1">
        <w:r>
          <w:rPr>
            <w:rStyle w:val="Lienhypertexte"/>
            <w:lang w:val="fr-BE"/>
          </w:rPr>
          <w:t>http://enseignement.be/ce1d</w:t>
        </w:r>
      </w:hyperlink>
      <w:r>
        <w:rPr>
          <w:lang w:val="fr-BE"/>
        </w:rPr>
        <w:t>, section « Cadre légal ».</w:t>
      </w:r>
    </w:p>
  </w:footnote>
  <w:footnote w:id="3">
    <w:p w:rsidR="00A47FB9" w:rsidRDefault="006A3EE2">
      <w:pPr>
        <w:pStyle w:val="Notedebasdepage"/>
      </w:pPr>
      <w:r>
        <w:rPr>
          <w:rStyle w:val="Appelnotedebasdep"/>
        </w:rPr>
        <w:footnoteRef/>
      </w:r>
      <w:r>
        <w:t xml:space="preserve"> </w:t>
      </w:r>
      <w:hyperlink r:id="rId2" w:history="1">
        <w:r>
          <w:rPr>
            <w:rStyle w:val="Lienhypertexte"/>
          </w:rPr>
          <w:t>http://enseignement.be/download.php?do_id=15922</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FB9" w:rsidRDefault="006A3EE2">
    <w:pPr>
      <w:pStyle w:val="En-tte"/>
    </w:pPr>
    <w:r>
      <w:rPr>
        <w:noProof/>
        <w:lang w:val="fr-BE" w:eastAsia="fr-BE"/>
      </w:rPr>
      <w:drawing>
        <wp:inline distT="0" distB="0" distL="0" distR="0">
          <wp:extent cx="2696845" cy="830580"/>
          <wp:effectExtent l="0" t="0" r="8255" b="7620"/>
          <wp:docPr id="1" name="Image 1" descr="C:\Users\quinta01\AppData\Local\Microsoft\Windows\INetCache\Content.Word\FWBNOIR_ENSEIGN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uinta01\AppData\Local\Microsoft\Windows\INetCache\Content.Word\FWBNOIR_ENSEIGNEM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6845" cy="8305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2E46C45"/>
    <w:multiLevelType w:val="hybridMultilevel"/>
    <w:tmpl w:val="B146805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19C55DDA"/>
    <w:multiLevelType w:val="multilevel"/>
    <w:tmpl w:val="BE928762"/>
    <w:numStyleLink w:val="Style2"/>
  </w:abstractNum>
  <w:abstractNum w:abstractNumId="5"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6"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37F710D"/>
    <w:multiLevelType w:val="hybridMultilevel"/>
    <w:tmpl w:val="3E768D9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2"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5"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5037268D"/>
    <w:multiLevelType w:val="multilevel"/>
    <w:tmpl w:val="49140C8C"/>
    <w:lvl w:ilvl="0">
      <w:start w:val="1"/>
      <w:numFmt w:val="upperLetter"/>
      <w:pStyle w:val="Titre1"/>
      <w:lvlText w:val="%1."/>
      <w:lvlJc w:val="left"/>
      <w:pPr>
        <w:ind w:left="72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7"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8"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3"/>
  </w:num>
  <w:num w:numId="2">
    <w:abstractNumId w:val="12"/>
  </w:num>
  <w:num w:numId="3">
    <w:abstractNumId w:val="12"/>
  </w:num>
  <w:num w:numId="4">
    <w:abstractNumId w:val="18"/>
  </w:num>
  <w:num w:numId="5">
    <w:abstractNumId w:val="19"/>
  </w:num>
  <w:num w:numId="6">
    <w:abstractNumId w:val="5"/>
  </w:num>
  <w:num w:numId="7">
    <w:abstractNumId w:val="15"/>
  </w:num>
  <w:num w:numId="8">
    <w:abstractNumId w:val="0"/>
  </w:num>
  <w:num w:numId="9">
    <w:abstractNumId w:val="14"/>
  </w:num>
  <w:num w:numId="10">
    <w:abstractNumId w:val="1"/>
  </w:num>
  <w:num w:numId="11">
    <w:abstractNumId w:val="20"/>
  </w:num>
  <w:num w:numId="12">
    <w:abstractNumId w:val="1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1"/>
  </w:num>
  <w:num w:numId="16">
    <w:abstractNumId w:val="6"/>
  </w:num>
  <w:num w:numId="17">
    <w:abstractNumId w:val="4"/>
  </w:num>
  <w:num w:numId="18">
    <w:abstractNumId w:val="16"/>
  </w:num>
  <w:num w:numId="19">
    <w:abstractNumId w:val="19"/>
  </w:num>
  <w:num w:numId="20">
    <w:abstractNumId w:val="8"/>
  </w:num>
  <w:num w:numId="21">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B9"/>
    <w:rsid w:val="006A3EE2"/>
    <w:rsid w:val="00A47FB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chartTrackingRefBased/>
  <w15:docId w15:val="{D9114155-36E3-4580-9E1D-E16E1325A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jc w:val="both"/>
    </w:pPr>
    <w:rPr>
      <w:rFonts w:ascii="Calibri" w:hAnsi="Calibri"/>
      <w:sz w:val="22"/>
      <w:szCs w:val="24"/>
      <w:lang w:val="fr-FR" w:eastAsia="fr-FR"/>
    </w:rPr>
  </w:style>
  <w:style w:type="paragraph" w:styleId="Titre1">
    <w:name w:val="heading 1"/>
    <w:basedOn w:val="Normal"/>
    <w:next w:val="Normal"/>
    <w:link w:val="Titre1Car"/>
    <w:autoRedefine/>
    <w:qFormat/>
    <w:pPr>
      <w:keepNext/>
      <w:numPr>
        <w:numId w:val="18"/>
      </w:numPr>
      <w:spacing w:before="480" w:after="360"/>
      <w:ind w:left="284" w:hanging="284"/>
      <w:outlineLvl w:val="0"/>
    </w:pPr>
    <w:rPr>
      <w:rFonts w:ascii="Arial" w:hAnsi="Arial"/>
      <w:b/>
      <w:bCs/>
      <w:kern w:val="32"/>
      <w:szCs w:val="32"/>
      <w:u w:val="single"/>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lang w:val="fr-BE"/>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rFonts w:ascii="Arial" w:hAnsi="Arial"/>
      <w:b/>
      <w:bCs/>
      <w:sz w:val="28"/>
      <w:szCs w:val="28"/>
    </w:rPr>
  </w:style>
  <w:style w:type="paragraph" w:styleId="Titre5">
    <w:name w:val="heading 5"/>
    <w:basedOn w:val="Normal"/>
    <w:next w:val="Normal"/>
    <w:link w:val="Titre5Car"/>
    <w:qFormat/>
    <w:pPr>
      <w:numPr>
        <w:ilvl w:val="4"/>
        <w:numId w:val="1"/>
      </w:numPr>
      <w:spacing w:before="240" w:after="60"/>
      <w:outlineLvl w:val="4"/>
    </w:pPr>
    <w:rPr>
      <w:rFonts w:ascii="Arial" w:hAnsi="Arial"/>
      <w:b/>
      <w:bCs/>
      <w:i/>
      <w:iCs/>
      <w:sz w:val="26"/>
      <w:szCs w:val="26"/>
    </w:rPr>
  </w:style>
  <w:style w:type="paragraph" w:styleId="Titre6">
    <w:name w:val="heading 6"/>
    <w:basedOn w:val="Normal"/>
    <w:next w:val="Normal"/>
    <w:link w:val="Titre6Car"/>
    <w:qFormat/>
    <w:pPr>
      <w:numPr>
        <w:ilvl w:val="5"/>
        <w:numId w:val="1"/>
      </w:numPr>
      <w:spacing w:before="240" w:after="60"/>
      <w:outlineLvl w:val="5"/>
    </w:pPr>
    <w:rPr>
      <w:rFonts w:ascii="Arial" w:hAnsi="Arial"/>
      <w:b/>
      <w:bCs/>
      <w:szCs w:val="22"/>
    </w:rPr>
  </w:style>
  <w:style w:type="paragraph" w:styleId="Titre7">
    <w:name w:val="heading 7"/>
    <w:basedOn w:val="Normal"/>
    <w:next w:val="Normal"/>
    <w:link w:val="Titre7Car"/>
    <w:qFormat/>
    <w:pPr>
      <w:numPr>
        <w:ilvl w:val="6"/>
        <w:numId w:val="1"/>
      </w:numPr>
      <w:spacing w:before="240" w:after="60"/>
      <w:outlineLvl w:val="6"/>
    </w:pPr>
    <w:rPr>
      <w:rFonts w:ascii="Arial" w:hAnsi="Arial"/>
    </w:rPr>
  </w:style>
  <w:style w:type="paragraph" w:styleId="Titre8">
    <w:name w:val="heading 8"/>
    <w:basedOn w:val="Normal"/>
    <w:next w:val="Normal"/>
    <w:link w:val="Titre8Car"/>
    <w:qFormat/>
    <w:pPr>
      <w:numPr>
        <w:ilvl w:val="7"/>
        <w:numId w:val="1"/>
      </w:numPr>
      <w:spacing w:before="240" w:after="60"/>
      <w:outlineLvl w:val="7"/>
    </w:pPr>
    <w:rPr>
      <w:rFonts w:ascii="Arial" w:hAnsi="Arial"/>
      <w:i/>
      <w:iCs/>
    </w:rPr>
  </w:style>
  <w:style w:type="paragraph" w:styleId="Titre9">
    <w:name w:val="heading 9"/>
    <w:basedOn w:val="Normal"/>
    <w:next w:val="Normal"/>
    <w:link w:val="Titre9Car"/>
    <w:qFormat/>
    <w:pPr>
      <w:numPr>
        <w:ilvl w:val="8"/>
        <w:numId w:val="1"/>
      </w:numPr>
      <w:spacing w:before="240" w:after="60"/>
      <w:outlineLvl w:val="8"/>
    </w:pPr>
    <w:rPr>
      <w:rFonts w:ascii="Arial" w:hAnsi="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 w:val="20"/>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 w:val="20"/>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Pr>
      <w:rFonts w:ascii="Arial" w:hAnsi="Arial"/>
      <w:b/>
      <w:bCs/>
      <w:kern w:val="32"/>
      <w:sz w:val="22"/>
      <w:szCs w:val="32"/>
      <w:u w:val="single"/>
      <w:lang w:val="fr-FR"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rFonts w:ascii="Arial" w:hAnsi="Arial"/>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val="fr-BE"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val="fr-BE"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 w:val="20"/>
      <w:szCs w:val="20"/>
    </w:rPr>
  </w:style>
  <w:style w:type="paragraph" w:styleId="TM4">
    <w:name w:val="toc 4"/>
    <w:basedOn w:val="Normal"/>
    <w:next w:val="Normal"/>
    <w:autoRedefine/>
    <w:uiPriority w:val="39"/>
    <w:pPr>
      <w:ind w:left="720"/>
    </w:pPr>
    <w:rPr>
      <w:sz w:val="20"/>
      <w:szCs w:val="20"/>
    </w:rPr>
  </w:style>
  <w:style w:type="paragraph" w:styleId="TM5">
    <w:name w:val="toc 5"/>
    <w:basedOn w:val="Normal"/>
    <w:next w:val="Normal"/>
    <w:autoRedefine/>
    <w:uiPriority w:val="39"/>
    <w:pPr>
      <w:ind w:left="960"/>
    </w:pPr>
    <w:rPr>
      <w:sz w:val="20"/>
      <w:szCs w:val="20"/>
    </w:rPr>
  </w:style>
  <w:style w:type="paragraph" w:styleId="TM6">
    <w:name w:val="toc 6"/>
    <w:basedOn w:val="Normal"/>
    <w:next w:val="Normal"/>
    <w:autoRedefine/>
    <w:uiPriority w:val="39"/>
    <w:pPr>
      <w:ind w:left="1200"/>
    </w:pPr>
    <w:rPr>
      <w:sz w:val="20"/>
      <w:szCs w:val="20"/>
    </w:rPr>
  </w:style>
  <w:style w:type="paragraph" w:styleId="TM7">
    <w:name w:val="toc 7"/>
    <w:basedOn w:val="Normal"/>
    <w:next w:val="Normal"/>
    <w:autoRedefine/>
    <w:uiPriority w:val="39"/>
    <w:pPr>
      <w:ind w:left="1440"/>
    </w:pPr>
    <w:rPr>
      <w:sz w:val="20"/>
      <w:szCs w:val="20"/>
    </w:rPr>
  </w:style>
  <w:style w:type="paragraph" w:styleId="TM8">
    <w:name w:val="toc 8"/>
    <w:basedOn w:val="Normal"/>
    <w:next w:val="Normal"/>
    <w:autoRedefine/>
    <w:uiPriority w:val="39"/>
    <w:pPr>
      <w:ind w:left="1680"/>
    </w:pPr>
    <w:rPr>
      <w:sz w:val="20"/>
      <w:szCs w:val="20"/>
    </w:rPr>
  </w:style>
  <w:style w:type="paragraph" w:styleId="TM9">
    <w:name w:val="toc 9"/>
    <w:basedOn w:val="Normal"/>
    <w:next w:val="Normal"/>
    <w:autoRedefine/>
    <w:uiPriority w:val="39"/>
    <w:pPr>
      <w:ind w:left="1920"/>
    </w:pPr>
    <w:rPr>
      <w:sz w:val="20"/>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basedOn w:val="Normal"/>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val="fr-BE"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pPr>
      <w:spacing w:after="0" w:line="240" w:lineRule="auto"/>
      <w:contextualSpacing/>
      <w:jc w:val="center"/>
    </w:pPr>
    <w:rPr>
      <w:rFonts w:ascii="Arial" w:eastAsiaTheme="majorEastAsia" w:hAnsi="Arial" w:cs="Arial"/>
      <w:spacing w:val="-10"/>
      <w:kern w:val="28"/>
      <w:sz w:val="32"/>
      <w:szCs w:val="56"/>
      <w:lang w:val="fr-BE"/>
    </w:rPr>
  </w:style>
  <w:style w:type="character" w:customStyle="1" w:styleId="TitreCar">
    <w:name w:val="Titre Car"/>
    <w:basedOn w:val="Policepardfaut"/>
    <w:link w:val="Titre"/>
    <w:rPr>
      <w:rFonts w:ascii="Arial" w:eastAsiaTheme="majorEastAsia" w:hAnsi="Arial" w:cs="Arial"/>
      <w:spacing w:val="-10"/>
      <w:kern w:val="28"/>
      <w:sz w:val="32"/>
      <w:szCs w:val="5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464808967">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seignement.be/download.php?do_id=1592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seignement.be/ce1d" TargetMode="External"/><Relationship Id="rId4" Type="http://schemas.openxmlformats.org/officeDocument/2006/relationships/settings" Target="settings.xml"/><Relationship Id="rId9" Type="http://schemas.openxmlformats.org/officeDocument/2006/relationships/hyperlink" Target="http://enseignement.be/index.php?page=28025&amp;navi=4500"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enseignement.be/ce1d"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enseignement.be/download.php?do_id=15922" TargetMode="External"/><Relationship Id="rId1" Type="http://schemas.openxmlformats.org/officeDocument/2006/relationships/hyperlink" Target="http://enseignement.be/ce1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CBF19-F0D6-4092-8A76-E5013D57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1218</Words>
  <Characters>6770</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7973</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DI EMIDIO Samuel</cp:lastModifiedBy>
  <cp:revision>14</cp:revision>
  <cp:lastPrinted>2020-02-06T12:38:00Z</cp:lastPrinted>
  <dcterms:created xsi:type="dcterms:W3CDTF">2021-01-18T14:19:00Z</dcterms:created>
  <dcterms:modified xsi:type="dcterms:W3CDTF">2021-02-15T12:53:00Z</dcterms:modified>
</cp:coreProperties>
</file>